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AFE7" w14:textId="77777777" w:rsidR="00C42ED0" w:rsidRDefault="00C42ED0" w:rsidP="00C42ED0">
      <w:pPr>
        <w:jc w:val="center"/>
        <w:rPr>
          <w:b/>
          <w:bCs/>
          <w:sz w:val="36"/>
          <w:szCs w:val="36"/>
        </w:rPr>
      </w:pPr>
      <w:r w:rsidRPr="00C42ED0">
        <w:rPr>
          <w:b/>
          <w:bCs/>
          <w:sz w:val="36"/>
          <w:szCs w:val="36"/>
        </w:rPr>
        <w:t>26</w:t>
      </w:r>
      <w:r w:rsidRPr="00C42ED0">
        <w:rPr>
          <w:b/>
          <w:bCs/>
          <w:sz w:val="36"/>
          <w:szCs w:val="36"/>
          <w:vertAlign w:val="superscript"/>
        </w:rPr>
        <w:t>th</w:t>
      </w:r>
      <w:r w:rsidRPr="00C42ED0">
        <w:rPr>
          <w:b/>
          <w:bCs/>
          <w:sz w:val="36"/>
          <w:szCs w:val="36"/>
        </w:rPr>
        <w:t xml:space="preserve"> Annual Working Together Symposium</w:t>
      </w:r>
      <w:r>
        <w:rPr>
          <w:b/>
          <w:bCs/>
          <w:sz w:val="36"/>
          <w:szCs w:val="36"/>
        </w:rPr>
        <w:t xml:space="preserve"> </w:t>
      </w:r>
    </w:p>
    <w:p w14:paraId="281DB5F2" w14:textId="3BBC71D4" w:rsidR="00C42ED0" w:rsidRPr="00C42ED0" w:rsidRDefault="00C42ED0" w:rsidP="00C42ED0">
      <w:pPr>
        <w:jc w:val="center"/>
        <w:rPr>
          <w:b/>
          <w:bCs/>
          <w:sz w:val="36"/>
          <w:szCs w:val="36"/>
        </w:rPr>
      </w:pPr>
      <w:r>
        <w:rPr>
          <w:b/>
          <w:bCs/>
          <w:sz w:val="36"/>
          <w:szCs w:val="36"/>
        </w:rPr>
        <w:t>Course Descriptions</w:t>
      </w:r>
    </w:p>
    <w:p w14:paraId="1FF5827B" w14:textId="77777777" w:rsidR="00C42ED0" w:rsidRDefault="00C42ED0" w:rsidP="00C42ED0">
      <w:pPr>
        <w:rPr>
          <w:b/>
          <w:bCs/>
        </w:rPr>
      </w:pPr>
    </w:p>
    <w:p w14:paraId="56CC1C18" w14:textId="19CCBC56" w:rsidR="00C42ED0" w:rsidRDefault="00C42ED0" w:rsidP="00C42ED0">
      <w:pPr>
        <w:rPr>
          <w:b/>
          <w:bCs/>
        </w:rPr>
      </w:pPr>
      <w:r w:rsidRPr="00C42ED0">
        <w:rPr>
          <w:b/>
          <w:bCs/>
        </w:rPr>
        <w:t>Jeffrey Schneider – Decedents Final 1040 &amp; Form 1041 (Income T</w:t>
      </w:r>
      <w:r>
        <w:rPr>
          <w:b/>
          <w:bCs/>
        </w:rPr>
        <w:t xml:space="preserve">ax </w:t>
      </w:r>
      <w:r w:rsidRPr="00C42ED0">
        <w:rPr>
          <w:b/>
          <w:bCs/>
        </w:rPr>
        <w:t>R</w:t>
      </w:r>
      <w:r>
        <w:rPr>
          <w:b/>
          <w:bCs/>
        </w:rPr>
        <w:t>eturn</w:t>
      </w:r>
      <w:r w:rsidRPr="00C42ED0">
        <w:rPr>
          <w:b/>
          <w:bCs/>
        </w:rPr>
        <w:t xml:space="preserve"> of Trusts &amp; Estates)</w:t>
      </w:r>
    </w:p>
    <w:p w14:paraId="5E61F7FF" w14:textId="111F9D3F" w:rsidR="00C42ED0" w:rsidRPr="00C42ED0" w:rsidRDefault="00C42ED0" w:rsidP="00C42ED0">
      <w:pPr>
        <w:rPr>
          <w:b/>
          <w:bCs/>
        </w:rPr>
      </w:pPr>
      <w:r>
        <w:rPr>
          <w:b/>
          <w:bCs/>
        </w:rPr>
        <w:t>8:00 am – 10:00 am</w:t>
      </w:r>
    </w:p>
    <w:p w14:paraId="2F191CEA" w14:textId="77777777" w:rsidR="00C42ED0" w:rsidRDefault="00C42ED0" w:rsidP="00C42ED0">
      <w:pPr>
        <w:pStyle w:val="Default"/>
      </w:pPr>
    </w:p>
    <w:p w14:paraId="717713D9" w14:textId="357C9B1D" w:rsidR="00C42ED0" w:rsidRPr="00C42ED0" w:rsidRDefault="00C42ED0" w:rsidP="00C42ED0">
      <w:pPr>
        <w:pStyle w:val="Default"/>
        <w:rPr>
          <w:rFonts w:asciiTheme="minorHAnsi" w:hAnsiTheme="minorHAnsi"/>
          <w:sz w:val="23"/>
          <w:szCs w:val="23"/>
        </w:rPr>
      </w:pPr>
      <w:r w:rsidRPr="00C42ED0">
        <w:rPr>
          <w:rFonts w:asciiTheme="minorHAnsi" w:hAnsiTheme="minorHAnsi"/>
          <w:b/>
          <w:bCs/>
          <w:color w:val="FF0000"/>
          <w:sz w:val="23"/>
          <w:szCs w:val="23"/>
        </w:rPr>
        <w:t xml:space="preserve">Decedents Final 1040 </w:t>
      </w:r>
    </w:p>
    <w:p w14:paraId="004159AE" w14:textId="77777777" w:rsidR="00C42ED0" w:rsidRPr="00C42ED0" w:rsidRDefault="00C42ED0" w:rsidP="00C42ED0">
      <w:pPr>
        <w:pStyle w:val="Default"/>
        <w:rPr>
          <w:rFonts w:asciiTheme="minorHAnsi" w:hAnsiTheme="minorHAnsi"/>
          <w:sz w:val="23"/>
          <w:szCs w:val="23"/>
        </w:rPr>
      </w:pPr>
      <w:r w:rsidRPr="00C42ED0">
        <w:rPr>
          <w:rFonts w:asciiTheme="minorHAnsi" w:hAnsiTheme="minorHAnsi"/>
          <w:sz w:val="23"/>
          <w:szCs w:val="23"/>
        </w:rPr>
        <w:t xml:space="preserve">In Part I, we will go over who is the person in charge and what are that person’s responsibilities. We will go into who has to file and what must be done with this return, besides “regular” income tax preparation. </w:t>
      </w:r>
    </w:p>
    <w:p w14:paraId="661A26C6" w14:textId="16A395FA" w:rsidR="00C42ED0" w:rsidRDefault="00C42ED0" w:rsidP="00C42ED0">
      <w:pPr>
        <w:pStyle w:val="Default"/>
        <w:rPr>
          <w:rFonts w:asciiTheme="minorHAnsi" w:hAnsiTheme="minorHAnsi"/>
          <w:sz w:val="23"/>
          <w:szCs w:val="23"/>
        </w:rPr>
      </w:pPr>
      <w:r w:rsidRPr="00C42ED0">
        <w:rPr>
          <w:rFonts w:asciiTheme="minorHAnsi" w:hAnsiTheme="minorHAnsi"/>
          <w:sz w:val="23"/>
          <w:szCs w:val="23"/>
        </w:rPr>
        <w:t xml:space="preserve">We will go over what income and deductions are allowed and how reported on this return versus a trust’s or estate’s return </w:t>
      </w:r>
    </w:p>
    <w:p w14:paraId="1CBD5770" w14:textId="77777777" w:rsidR="000E00F3" w:rsidRPr="00C42ED0" w:rsidRDefault="000E00F3" w:rsidP="00C42ED0">
      <w:pPr>
        <w:pStyle w:val="Default"/>
        <w:rPr>
          <w:rFonts w:asciiTheme="minorHAnsi" w:hAnsiTheme="minorHAnsi"/>
          <w:sz w:val="23"/>
          <w:szCs w:val="23"/>
        </w:rPr>
      </w:pPr>
    </w:p>
    <w:p w14:paraId="144E6D79" w14:textId="77777777" w:rsidR="00C42ED0" w:rsidRPr="00C42ED0" w:rsidRDefault="00C42ED0" w:rsidP="00C42ED0">
      <w:pPr>
        <w:pStyle w:val="Default"/>
        <w:rPr>
          <w:rFonts w:asciiTheme="minorHAnsi" w:hAnsiTheme="minorHAnsi"/>
          <w:sz w:val="23"/>
          <w:szCs w:val="23"/>
        </w:rPr>
      </w:pPr>
      <w:r w:rsidRPr="00C42ED0">
        <w:rPr>
          <w:rFonts w:asciiTheme="minorHAnsi" w:hAnsiTheme="minorHAnsi"/>
          <w:b/>
          <w:bCs/>
          <w:color w:val="FF0000"/>
          <w:sz w:val="23"/>
          <w:szCs w:val="23"/>
        </w:rPr>
        <w:t xml:space="preserve">Form 1041 – Income Tax Return of Trusts and Estates </w:t>
      </w:r>
    </w:p>
    <w:p w14:paraId="1FCA8045" w14:textId="77777777" w:rsidR="00C42ED0" w:rsidRPr="00C42ED0" w:rsidRDefault="00C42ED0" w:rsidP="00C42ED0">
      <w:pPr>
        <w:pStyle w:val="Default"/>
        <w:rPr>
          <w:rFonts w:asciiTheme="minorHAnsi" w:hAnsiTheme="minorHAnsi"/>
          <w:sz w:val="23"/>
          <w:szCs w:val="23"/>
        </w:rPr>
      </w:pPr>
      <w:r w:rsidRPr="00C42ED0">
        <w:rPr>
          <w:rFonts w:asciiTheme="minorHAnsi" w:hAnsiTheme="minorHAnsi"/>
          <w:sz w:val="23"/>
          <w:szCs w:val="23"/>
        </w:rPr>
        <w:t xml:space="preserve">In Part II, we will go over the differences between trusts and estates, the different types of trusts and how to compute taxable income and related deductions. </w:t>
      </w:r>
    </w:p>
    <w:p w14:paraId="36A78B38" w14:textId="26D02AD5" w:rsidR="00C42ED0" w:rsidRDefault="00C42ED0" w:rsidP="00C42ED0">
      <w:pPr>
        <w:pStyle w:val="Default"/>
        <w:rPr>
          <w:rFonts w:asciiTheme="minorHAnsi" w:hAnsiTheme="minorHAnsi"/>
          <w:sz w:val="23"/>
          <w:szCs w:val="23"/>
        </w:rPr>
      </w:pPr>
      <w:r w:rsidRPr="00C42ED0">
        <w:rPr>
          <w:rFonts w:asciiTheme="minorHAnsi" w:hAnsiTheme="minorHAnsi"/>
          <w:sz w:val="23"/>
          <w:szCs w:val="23"/>
        </w:rPr>
        <w:t xml:space="preserve">We will learn terminology, specific to the trusts and estates, who the parties are within this taxing scheme and the responsibilities of the parties (trustee, fiduciary, the beneficiaries and the tax professionals). </w:t>
      </w:r>
    </w:p>
    <w:p w14:paraId="1B0805FC" w14:textId="77777777" w:rsidR="000E00F3" w:rsidRPr="00C42ED0" w:rsidRDefault="000E00F3" w:rsidP="00C42ED0">
      <w:pPr>
        <w:pStyle w:val="Default"/>
        <w:rPr>
          <w:rFonts w:asciiTheme="minorHAnsi" w:hAnsiTheme="minorHAnsi"/>
          <w:sz w:val="23"/>
          <w:szCs w:val="23"/>
        </w:rPr>
      </w:pPr>
    </w:p>
    <w:p w14:paraId="5494A701" w14:textId="1DDA5327" w:rsidR="00C42ED0" w:rsidRDefault="00C42ED0" w:rsidP="00C42ED0">
      <w:pPr>
        <w:pStyle w:val="Default"/>
        <w:rPr>
          <w:rFonts w:asciiTheme="minorHAnsi" w:hAnsiTheme="minorHAnsi"/>
          <w:sz w:val="23"/>
          <w:szCs w:val="23"/>
        </w:rPr>
      </w:pPr>
      <w:r w:rsidRPr="00C42ED0">
        <w:rPr>
          <w:rFonts w:asciiTheme="minorHAnsi" w:hAnsiTheme="minorHAnsi"/>
          <w:sz w:val="23"/>
          <w:szCs w:val="23"/>
        </w:rPr>
        <w:t xml:space="preserve">We will discuss the Uniform Principal &amp; Income Act, Distributable Net Income, Specific Bequests, and elections specific to trust taxation. We will also go through some of the past important parts of the actual 1041. </w:t>
      </w:r>
    </w:p>
    <w:p w14:paraId="5BB4BCA5" w14:textId="77777777" w:rsidR="000E00F3" w:rsidRPr="00C42ED0" w:rsidRDefault="000E00F3" w:rsidP="00C42ED0">
      <w:pPr>
        <w:pStyle w:val="Default"/>
        <w:rPr>
          <w:rFonts w:asciiTheme="minorHAnsi" w:hAnsiTheme="minorHAnsi"/>
          <w:sz w:val="23"/>
          <w:szCs w:val="23"/>
        </w:rPr>
      </w:pPr>
      <w:bookmarkStart w:id="0" w:name="_GoBack"/>
      <w:bookmarkEnd w:id="0"/>
    </w:p>
    <w:p w14:paraId="5546DFD8" w14:textId="04E03A67" w:rsidR="00C42ED0" w:rsidRDefault="00C42ED0" w:rsidP="00C42ED0">
      <w:pPr>
        <w:rPr>
          <w:sz w:val="23"/>
          <w:szCs w:val="23"/>
        </w:rPr>
      </w:pPr>
      <w:r w:rsidRPr="00C42ED0">
        <w:rPr>
          <w:sz w:val="23"/>
          <w:szCs w:val="23"/>
        </w:rPr>
        <w:t>We will briefly touch on IRC §645 and the Deceased Spouse Unused Exclusion of DSUE.</w:t>
      </w:r>
    </w:p>
    <w:p w14:paraId="292D43F5" w14:textId="4894CCDE" w:rsidR="00C42ED0" w:rsidRDefault="00C42ED0" w:rsidP="00C42ED0">
      <w:pPr>
        <w:rPr>
          <w:sz w:val="23"/>
          <w:szCs w:val="23"/>
        </w:rPr>
      </w:pPr>
    </w:p>
    <w:p w14:paraId="0F8449B4" w14:textId="1C13B7D6" w:rsidR="00C42ED0" w:rsidRDefault="00C42ED0" w:rsidP="00C42ED0">
      <w:pPr>
        <w:rPr>
          <w:b/>
          <w:bCs/>
          <w:sz w:val="23"/>
          <w:szCs w:val="23"/>
        </w:rPr>
      </w:pPr>
      <w:r>
        <w:rPr>
          <w:b/>
          <w:bCs/>
          <w:sz w:val="23"/>
          <w:szCs w:val="23"/>
        </w:rPr>
        <w:t>Samuel Donaldson – Federal Tax Update</w:t>
      </w:r>
    </w:p>
    <w:p w14:paraId="3B803CB2" w14:textId="2D2D5BB6" w:rsidR="00C42ED0" w:rsidRDefault="00C42ED0" w:rsidP="00C42ED0">
      <w:pPr>
        <w:rPr>
          <w:b/>
          <w:bCs/>
          <w:sz w:val="23"/>
          <w:szCs w:val="23"/>
        </w:rPr>
      </w:pPr>
      <w:r>
        <w:rPr>
          <w:b/>
          <w:bCs/>
          <w:sz w:val="23"/>
          <w:szCs w:val="23"/>
        </w:rPr>
        <w:t>10:00 am – 12:00 pm</w:t>
      </w:r>
    </w:p>
    <w:p w14:paraId="0712DD4A" w14:textId="77777777" w:rsidR="00D35F5A" w:rsidRPr="00D35F5A" w:rsidRDefault="00D35F5A" w:rsidP="00D35F5A">
      <w:pPr>
        <w:autoSpaceDE w:val="0"/>
        <w:autoSpaceDN w:val="0"/>
        <w:adjustRightInd w:val="0"/>
        <w:spacing w:after="0" w:line="240" w:lineRule="auto"/>
        <w:rPr>
          <w:rFonts w:ascii="Calibri" w:hAnsi="Calibri" w:cs="Calibri"/>
          <w:color w:val="000000"/>
          <w:sz w:val="24"/>
          <w:szCs w:val="24"/>
        </w:rPr>
      </w:pPr>
    </w:p>
    <w:p w14:paraId="40243088" w14:textId="70F45707" w:rsidR="00C42ED0" w:rsidRPr="00C42ED0" w:rsidRDefault="00D35F5A" w:rsidP="00D35F5A">
      <w:pPr>
        <w:rPr>
          <w:b/>
          <w:bCs/>
        </w:rPr>
      </w:pPr>
      <w:r w:rsidRPr="00D35F5A">
        <w:rPr>
          <w:rFonts w:ascii="Calibri" w:hAnsi="Calibri" w:cs="Calibri"/>
          <w:color w:val="000000"/>
          <w:sz w:val="24"/>
          <w:szCs w:val="24"/>
        </w:rPr>
        <w:t xml:space="preserve"> </w:t>
      </w:r>
      <w:r>
        <w:rPr>
          <w:rFonts w:ascii="Calibri" w:hAnsi="Calibri" w:cs="Calibri"/>
          <w:color w:val="000000"/>
          <w:sz w:val="24"/>
          <w:szCs w:val="24"/>
        </w:rPr>
        <w:t xml:space="preserve">This presentation </w:t>
      </w:r>
      <w:r w:rsidRPr="00D35F5A">
        <w:rPr>
          <w:rFonts w:ascii="Calibri" w:hAnsi="Calibri" w:cs="Calibri"/>
          <w:color w:val="000000"/>
          <w:sz w:val="23"/>
          <w:szCs w:val="23"/>
        </w:rPr>
        <w:t>summarize</w:t>
      </w:r>
      <w:r>
        <w:rPr>
          <w:rFonts w:ascii="Calibri" w:hAnsi="Calibri" w:cs="Calibri"/>
          <w:color w:val="000000"/>
          <w:sz w:val="23"/>
          <w:szCs w:val="23"/>
        </w:rPr>
        <w:t>s</w:t>
      </w:r>
      <w:r w:rsidRPr="00D35F5A">
        <w:rPr>
          <w:rFonts w:ascii="Calibri" w:hAnsi="Calibri" w:cs="Calibri"/>
          <w:color w:val="000000"/>
          <w:sz w:val="23"/>
          <w:szCs w:val="23"/>
        </w:rPr>
        <w:t xml:space="preserve"> important developments in the substantive federal income, estate and gift tax laws affecting individual taxpayers and small businesses using the timeframe of July, 2019, through October, 2020. The </w:t>
      </w:r>
      <w:r>
        <w:rPr>
          <w:rFonts w:ascii="Calibri" w:hAnsi="Calibri" w:cs="Calibri"/>
          <w:color w:val="000000"/>
          <w:sz w:val="23"/>
          <w:szCs w:val="23"/>
        </w:rPr>
        <w:t xml:space="preserve">presentation and </w:t>
      </w:r>
      <w:r w:rsidRPr="00D35F5A">
        <w:rPr>
          <w:rFonts w:ascii="Calibri" w:hAnsi="Calibri" w:cs="Calibri"/>
          <w:color w:val="000000"/>
          <w:sz w:val="23"/>
          <w:szCs w:val="23"/>
        </w:rPr>
        <w:t>materials are organized roughly in order of significance. Th</w:t>
      </w:r>
      <w:r>
        <w:rPr>
          <w:rFonts w:ascii="Calibri" w:hAnsi="Calibri" w:cs="Calibri"/>
          <w:color w:val="000000"/>
          <w:sz w:val="23"/>
          <w:szCs w:val="23"/>
        </w:rPr>
        <w:t>is presentation and</w:t>
      </w:r>
      <w:r w:rsidRPr="00D35F5A">
        <w:rPr>
          <w:rFonts w:ascii="Calibri" w:hAnsi="Calibri" w:cs="Calibri"/>
          <w:color w:val="000000"/>
          <w:sz w:val="23"/>
          <w:szCs w:val="23"/>
        </w:rPr>
        <w:t xml:space="preserve"> materials generally do not discuss developments in the areas of deferred compensation or the taxation of business entities (except to a very limited extent).</w:t>
      </w:r>
    </w:p>
    <w:sectPr w:rsidR="00C42ED0" w:rsidRPr="00C42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D0"/>
    <w:rsid w:val="000E00F3"/>
    <w:rsid w:val="00C42ED0"/>
    <w:rsid w:val="00D3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B6AB"/>
  <w15:chartTrackingRefBased/>
  <w15:docId w15:val="{75D92283-2796-4700-9FA0-7EC13CDA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ED0"/>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17057</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2020-10-23T17:45:00Z</dcterms:created>
  <dcterms:modified xsi:type="dcterms:W3CDTF">2020-11-04T21:36:00Z</dcterms:modified>
</cp:coreProperties>
</file>